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CB" w:rsidRDefault="00C60BCB" w:rsidP="00C60BCB">
      <w:pPr>
        <w:pStyle w:val="a3"/>
        <w:spacing w:before="0" w:beforeAutospacing="0" w:after="150" w:afterAutospacing="0" w:line="384" w:lineRule="atLeast"/>
        <w:jc w:val="center"/>
        <w:rPr>
          <w:b/>
          <w:bCs/>
          <w:color w:val="000000"/>
          <w:sz w:val="27"/>
          <w:szCs w:val="27"/>
        </w:rPr>
      </w:pPr>
      <w:r>
        <w:rPr>
          <w:b/>
          <w:bCs/>
          <w:color w:val="000000"/>
          <w:sz w:val="27"/>
          <w:szCs w:val="27"/>
        </w:rPr>
        <w:t>BG-с. Кайнарджа</w:t>
      </w:r>
    </w:p>
    <w:p w:rsidR="00C60BCB" w:rsidRDefault="00C60BCB" w:rsidP="00C60BCB">
      <w:pPr>
        <w:pStyle w:val="a3"/>
        <w:spacing w:before="0" w:beforeAutospacing="0" w:after="150" w:afterAutospacing="0" w:line="384" w:lineRule="atLeast"/>
        <w:jc w:val="center"/>
        <w:rPr>
          <w:b/>
          <w:bCs/>
          <w:color w:val="000000"/>
          <w:sz w:val="27"/>
          <w:szCs w:val="27"/>
        </w:rPr>
      </w:pPr>
      <w:r>
        <w:rPr>
          <w:b/>
          <w:bCs/>
          <w:color w:val="000000"/>
          <w:sz w:val="27"/>
          <w:szCs w:val="27"/>
        </w:rPr>
        <w:t>ПУБЛИЧНА ПОКАНА</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ВЪЗЛОЖИТЕЛ:</w:t>
      </w:r>
    </w:p>
    <w:p w:rsidR="00C60BCB" w:rsidRDefault="00C60BCB" w:rsidP="00C60BCB">
      <w:pPr>
        <w:pStyle w:val="addr"/>
        <w:spacing w:before="0" w:beforeAutospacing="0" w:after="0" w:afterAutospacing="0" w:line="384" w:lineRule="atLeast"/>
        <w:jc w:val="both"/>
        <w:rPr>
          <w:color w:val="000000"/>
          <w:sz w:val="27"/>
          <w:szCs w:val="27"/>
        </w:rPr>
      </w:pPr>
      <w:r>
        <w:rPr>
          <w:color w:val="000000"/>
          <w:sz w:val="27"/>
          <w:szCs w:val="27"/>
        </w:rPr>
        <w:t xml:space="preserve">Община Кайнарджа, ул. Димитър Дончев №2, За: Марин Скорчелиев, Р България 7550, с. Кайнарджа, Тел.: 08679 8318, </w:t>
      </w:r>
      <w:proofErr w:type="spellStart"/>
      <w:r>
        <w:rPr>
          <w:color w:val="000000"/>
          <w:sz w:val="27"/>
          <w:szCs w:val="27"/>
        </w:rPr>
        <w:t>E-mail</w:t>
      </w:r>
      <w:proofErr w:type="spellEnd"/>
      <w:r>
        <w:rPr>
          <w:color w:val="000000"/>
          <w:sz w:val="27"/>
          <w:szCs w:val="27"/>
        </w:rPr>
        <w:t>:</w:t>
      </w:r>
      <w:r>
        <w:rPr>
          <w:rStyle w:val="apple-converted-space"/>
          <w:color w:val="000000"/>
          <w:sz w:val="27"/>
          <w:szCs w:val="27"/>
        </w:rPr>
        <w:t> </w:t>
      </w:r>
      <w:hyperlink r:id="rId4" w:history="1">
        <w:r>
          <w:rPr>
            <w:rStyle w:val="a4"/>
            <w:color w:val="006699"/>
            <w:sz w:val="27"/>
            <w:szCs w:val="27"/>
          </w:rPr>
          <w:t>kain_s@abv.bg</w:t>
        </w:r>
      </w:hyperlink>
      <w:r>
        <w:rPr>
          <w:color w:val="000000"/>
          <w:sz w:val="27"/>
          <w:szCs w:val="27"/>
        </w:rPr>
        <w:t>, Факс: 08679 8461</w:t>
      </w:r>
    </w:p>
    <w:p w:rsidR="00C60BCB" w:rsidRDefault="00C60BCB" w:rsidP="00C60BCB">
      <w:pPr>
        <w:rPr>
          <w:color w:val="000000"/>
          <w:sz w:val="27"/>
          <w:szCs w:val="27"/>
        </w:rPr>
      </w:pPr>
      <w:r>
        <w:rPr>
          <w:color w:val="000000"/>
          <w:sz w:val="27"/>
          <w:szCs w:val="27"/>
        </w:rPr>
        <w:t>Място/места за контакт: с. Кайнарджа, ул. Димитър Дончев №2</w:t>
      </w:r>
    </w:p>
    <w:p w:rsidR="00C60BCB" w:rsidRDefault="00C60BCB" w:rsidP="00C60BCB">
      <w:pPr>
        <w:pStyle w:val="addr"/>
        <w:spacing w:before="0" w:beforeAutospacing="0" w:after="0" w:afterAutospacing="0" w:line="384" w:lineRule="atLeast"/>
        <w:jc w:val="both"/>
        <w:rPr>
          <w:color w:val="000000"/>
          <w:sz w:val="27"/>
          <w:szCs w:val="27"/>
        </w:rPr>
      </w:pPr>
      <w:r>
        <w:rPr>
          <w:color w:val="000000"/>
          <w:sz w:val="27"/>
          <w:szCs w:val="27"/>
        </w:rPr>
        <w:t>Интернет адрес/и:</w:t>
      </w:r>
    </w:p>
    <w:p w:rsidR="00C60BCB" w:rsidRDefault="00C60BCB" w:rsidP="00C60BCB">
      <w:pPr>
        <w:pStyle w:val="txurl"/>
        <w:spacing w:before="0" w:beforeAutospacing="0" w:after="0" w:afterAutospacing="0" w:line="384" w:lineRule="atLeast"/>
        <w:jc w:val="both"/>
        <w:rPr>
          <w:color w:val="000000"/>
          <w:sz w:val="27"/>
          <w:szCs w:val="27"/>
        </w:rPr>
      </w:pPr>
      <w:r>
        <w:rPr>
          <w:color w:val="000000"/>
          <w:sz w:val="27"/>
          <w:szCs w:val="27"/>
        </w:rPr>
        <w:t>Основен адрес на възлагащия орган/възложителя:</w:t>
      </w:r>
      <w:r>
        <w:rPr>
          <w:rStyle w:val="apple-converted-space"/>
          <w:color w:val="000000"/>
          <w:sz w:val="27"/>
          <w:szCs w:val="27"/>
        </w:rPr>
        <w:t> </w:t>
      </w:r>
      <w:proofErr w:type="spellStart"/>
      <w:r>
        <w:rPr>
          <w:color w:val="000000"/>
          <w:sz w:val="27"/>
          <w:szCs w:val="27"/>
        </w:rPr>
        <w:fldChar w:fldCharType="begin"/>
      </w:r>
      <w:r>
        <w:rPr>
          <w:color w:val="000000"/>
          <w:sz w:val="27"/>
          <w:szCs w:val="27"/>
        </w:rPr>
        <w:instrText xml:space="preserve"> HYPERLINK "javascript:openURL('kaynardzha.egov.bg')" </w:instrText>
      </w:r>
      <w:r>
        <w:rPr>
          <w:color w:val="000000"/>
          <w:sz w:val="27"/>
          <w:szCs w:val="27"/>
        </w:rPr>
        <w:fldChar w:fldCharType="separate"/>
      </w:r>
      <w:r>
        <w:rPr>
          <w:rStyle w:val="a4"/>
          <w:color w:val="006699"/>
          <w:sz w:val="27"/>
          <w:szCs w:val="27"/>
        </w:rPr>
        <w:t>kaynardzha</w:t>
      </w:r>
      <w:proofErr w:type="spellEnd"/>
      <w:r>
        <w:rPr>
          <w:rStyle w:val="a4"/>
          <w:color w:val="006699"/>
          <w:sz w:val="27"/>
          <w:szCs w:val="27"/>
        </w:rPr>
        <w:t>.</w:t>
      </w:r>
      <w:proofErr w:type="spellStart"/>
      <w:r>
        <w:rPr>
          <w:rStyle w:val="a4"/>
          <w:color w:val="006699"/>
          <w:sz w:val="27"/>
          <w:szCs w:val="27"/>
        </w:rPr>
        <w:t>egov</w:t>
      </w:r>
      <w:proofErr w:type="spellEnd"/>
      <w:r>
        <w:rPr>
          <w:rStyle w:val="a4"/>
          <w:color w:val="006699"/>
          <w:sz w:val="27"/>
          <w:szCs w:val="27"/>
        </w:rPr>
        <w:t>.</w:t>
      </w:r>
      <w:proofErr w:type="spellStart"/>
      <w:r>
        <w:rPr>
          <w:rStyle w:val="a4"/>
          <w:color w:val="006699"/>
          <w:sz w:val="27"/>
          <w:szCs w:val="27"/>
        </w:rPr>
        <w:t>bg</w:t>
      </w:r>
      <w:proofErr w:type="spellEnd"/>
      <w:r>
        <w:rPr>
          <w:color w:val="000000"/>
          <w:sz w:val="27"/>
          <w:szCs w:val="27"/>
        </w:rPr>
        <w:fldChar w:fldCharType="end"/>
      </w:r>
      <w:r>
        <w:rPr>
          <w:color w:val="000000"/>
          <w:sz w:val="27"/>
          <w:szCs w:val="27"/>
        </w:rPr>
        <w:t>.</w:t>
      </w:r>
    </w:p>
    <w:p w:rsidR="00C60BCB" w:rsidRDefault="00C60BCB" w:rsidP="00C60BCB">
      <w:pPr>
        <w:pStyle w:val="txurl"/>
        <w:spacing w:before="0" w:beforeAutospacing="0" w:after="0" w:afterAutospacing="0" w:line="384" w:lineRule="atLeast"/>
        <w:jc w:val="both"/>
        <w:rPr>
          <w:color w:val="000000"/>
          <w:sz w:val="27"/>
          <w:szCs w:val="27"/>
        </w:rPr>
      </w:pPr>
      <w:r>
        <w:rPr>
          <w:color w:val="000000"/>
          <w:sz w:val="27"/>
          <w:szCs w:val="27"/>
        </w:rPr>
        <w:t>Адрес на профила на купувача:</w:t>
      </w:r>
      <w:r>
        <w:rPr>
          <w:rStyle w:val="apple-converted-space"/>
          <w:color w:val="000000"/>
          <w:sz w:val="27"/>
          <w:szCs w:val="27"/>
        </w:rPr>
        <w:t> </w:t>
      </w:r>
      <w:hyperlink r:id="rId5" w:history="1">
        <w:r>
          <w:rPr>
            <w:rStyle w:val="a4"/>
            <w:color w:val="006699"/>
            <w:sz w:val="27"/>
            <w:szCs w:val="27"/>
          </w:rPr>
          <w:t>http://kaynardzha.egov.bg/KAYNARDZHA/home.nsf/pages/bg/NT00002C06?openDocument</w:t>
        </w:r>
      </w:hyperlink>
      <w:r>
        <w:rPr>
          <w:color w:val="000000"/>
          <w:sz w:val="27"/>
          <w:szCs w:val="27"/>
        </w:rPr>
        <w:t>.</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ОБЕКТ НА ПОРЪЧКАТА:</w:t>
      </w:r>
    </w:p>
    <w:p w:rsidR="00C60BCB" w:rsidRDefault="00C60BCB" w:rsidP="00C60BCB">
      <w:pPr>
        <w:rPr>
          <w:color w:val="000000"/>
          <w:sz w:val="27"/>
          <w:szCs w:val="27"/>
        </w:rPr>
      </w:pPr>
      <w:r>
        <w:rPr>
          <w:color w:val="000000"/>
          <w:sz w:val="27"/>
          <w:szCs w:val="27"/>
        </w:rPr>
        <w:t>Строителство</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КРАТКО ОПИСАНИЕ:</w:t>
      </w:r>
    </w:p>
    <w:p w:rsidR="00C60BCB" w:rsidRDefault="00C60BCB" w:rsidP="00C60BCB">
      <w:pPr>
        <w:rPr>
          <w:color w:val="000000"/>
          <w:sz w:val="27"/>
          <w:szCs w:val="27"/>
        </w:rPr>
      </w:pPr>
      <w:r>
        <w:rPr>
          <w:color w:val="000000"/>
          <w:sz w:val="27"/>
          <w:szCs w:val="27"/>
        </w:rPr>
        <w:t xml:space="preserve">Обществената поръчка е с предмет: „Частичен ремонт на стария корпус на ОУ „Васил </w:t>
      </w:r>
      <w:proofErr w:type="spellStart"/>
      <w:r>
        <w:rPr>
          <w:color w:val="000000"/>
          <w:sz w:val="27"/>
          <w:szCs w:val="27"/>
        </w:rPr>
        <w:t>Априлов</w:t>
      </w:r>
      <w:proofErr w:type="spellEnd"/>
      <w:r>
        <w:rPr>
          <w:color w:val="000000"/>
          <w:sz w:val="27"/>
          <w:szCs w:val="27"/>
        </w:rPr>
        <w:t xml:space="preserve">“, с. Голеш, Община Кайнарджа, което включва изграждането на нова отоплителна инсталация, ремонт на стените след изграждането и извеждане на повърхностните води наводняващи сградата на общежитието и училището” Финансирането ще се осигури от средства на министерството на финансите и средства на училище ОУ „Васил </w:t>
      </w:r>
      <w:proofErr w:type="spellStart"/>
      <w:r>
        <w:rPr>
          <w:color w:val="000000"/>
          <w:sz w:val="27"/>
          <w:szCs w:val="27"/>
        </w:rPr>
        <w:t>Априлов</w:t>
      </w:r>
      <w:proofErr w:type="spellEnd"/>
      <w:r>
        <w:rPr>
          <w:color w:val="000000"/>
          <w:sz w:val="27"/>
          <w:szCs w:val="27"/>
        </w:rPr>
        <w:t xml:space="preserve">“, с. Голеш. Оглед на място, може да се извършва всеки работен ден, от 09,00 ч. до 12,00 ч., след предварителна заявка изпратена до Възложителя на адрес: с. Кайнарджа, 7550, ул. "Димитър Дончев“ № 2 или на </w:t>
      </w:r>
      <w:proofErr w:type="spellStart"/>
      <w:r>
        <w:rPr>
          <w:color w:val="000000"/>
          <w:sz w:val="27"/>
          <w:szCs w:val="27"/>
        </w:rPr>
        <w:t>e-mail</w:t>
      </w:r>
      <w:proofErr w:type="spellEnd"/>
      <w:r>
        <w:rPr>
          <w:color w:val="000000"/>
          <w:sz w:val="27"/>
          <w:szCs w:val="27"/>
        </w:rPr>
        <w:t xml:space="preserve">: </w:t>
      </w:r>
      <w:proofErr w:type="spellStart"/>
      <w:r>
        <w:rPr>
          <w:color w:val="000000"/>
          <w:sz w:val="27"/>
          <w:szCs w:val="27"/>
        </w:rPr>
        <w:t>kain_s@abv</w:t>
      </w:r>
      <w:proofErr w:type="spellEnd"/>
      <w:r>
        <w:rPr>
          <w:color w:val="000000"/>
          <w:sz w:val="27"/>
          <w:szCs w:val="27"/>
        </w:rPr>
        <w:t>.</w:t>
      </w:r>
      <w:proofErr w:type="spellStart"/>
      <w:r>
        <w:rPr>
          <w:color w:val="000000"/>
          <w:sz w:val="27"/>
          <w:szCs w:val="27"/>
        </w:rPr>
        <w:t>bg</w:t>
      </w:r>
      <w:proofErr w:type="spellEnd"/>
      <w:r>
        <w:rPr>
          <w:color w:val="000000"/>
          <w:sz w:val="27"/>
          <w:szCs w:val="27"/>
        </w:rPr>
        <w:t>. Разходите свързани с огледа са за сметка на участника извършил оглед.</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КОД СЪГЛАСНО ОБЩИЯ ТЕРМИНОЛОГИЧЕН РЕЧНИК (CPV):</w:t>
      </w:r>
    </w:p>
    <w:p w:rsidR="00C60BCB" w:rsidRDefault="00C60BCB" w:rsidP="00C60BCB">
      <w:pPr>
        <w:pStyle w:val="a3"/>
        <w:spacing w:before="0" w:beforeAutospacing="0" w:after="0" w:afterAutospacing="0" w:line="384" w:lineRule="atLeast"/>
        <w:jc w:val="both"/>
        <w:rPr>
          <w:color w:val="000000"/>
          <w:sz w:val="27"/>
          <w:szCs w:val="27"/>
        </w:rPr>
      </w:pPr>
      <w:r>
        <w:rPr>
          <w:rStyle w:val="txcpv"/>
          <w:color w:val="FF0000"/>
          <w:sz w:val="27"/>
          <w:szCs w:val="27"/>
        </w:rPr>
        <w:t>45331100</w:t>
      </w:r>
      <w:r>
        <w:rPr>
          <w:color w:val="000000"/>
          <w:sz w:val="27"/>
          <w:szCs w:val="27"/>
        </w:rPr>
        <w:t>,</w:t>
      </w:r>
      <w:r>
        <w:rPr>
          <w:rStyle w:val="apple-converted-space"/>
          <w:color w:val="000000"/>
          <w:sz w:val="27"/>
          <w:szCs w:val="27"/>
        </w:rPr>
        <w:t> </w:t>
      </w:r>
      <w:r>
        <w:rPr>
          <w:rStyle w:val="txcpv"/>
          <w:color w:val="FF0000"/>
          <w:sz w:val="27"/>
          <w:szCs w:val="27"/>
        </w:rPr>
        <w:t>45331110</w:t>
      </w:r>
      <w:r>
        <w:rPr>
          <w:color w:val="000000"/>
          <w:sz w:val="27"/>
          <w:szCs w:val="27"/>
        </w:rPr>
        <w:t>,</w:t>
      </w:r>
      <w:r>
        <w:rPr>
          <w:rStyle w:val="apple-converted-space"/>
          <w:color w:val="000000"/>
          <w:sz w:val="27"/>
          <w:szCs w:val="27"/>
        </w:rPr>
        <w:t> </w:t>
      </w:r>
      <w:r>
        <w:rPr>
          <w:rStyle w:val="txcpv"/>
          <w:color w:val="FF0000"/>
          <w:sz w:val="27"/>
          <w:szCs w:val="27"/>
        </w:rPr>
        <w:t>45214210</w:t>
      </w:r>
    </w:p>
    <w:p w:rsidR="00C60BCB" w:rsidRDefault="00C60BCB" w:rsidP="00C60BCB">
      <w:pPr>
        <w:pStyle w:val="a3"/>
        <w:spacing w:before="0" w:beforeAutospacing="0" w:after="0" w:afterAutospacing="0" w:line="384" w:lineRule="atLeast"/>
        <w:jc w:val="both"/>
        <w:rPr>
          <w:color w:val="000000"/>
          <w:sz w:val="27"/>
          <w:szCs w:val="27"/>
        </w:rPr>
      </w:pPr>
      <w:r>
        <w:rPr>
          <w:rStyle w:val="timark"/>
          <w:b/>
          <w:bCs/>
          <w:color w:val="000000"/>
          <w:sz w:val="27"/>
          <w:szCs w:val="27"/>
        </w:rPr>
        <w:t>Описание:</w:t>
      </w:r>
    </w:p>
    <w:p w:rsidR="00C60BCB" w:rsidRDefault="00C60BCB" w:rsidP="00C60BCB">
      <w:pPr>
        <w:rPr>
          <w:color w:val="000000"/>
          <w:sz w:val="27"/>
          <w:szCs w:val="27"/>
        </w:rPr>
      </w:pPr>
      <w:r>
        <w:rPr>
          <w:color w:val="000000"/>
          <w:sz w:val="27"/>
          <w:szCs w:val="27"/>
        </w:rPr>
        <w:t>Строителни и монтажни работи на отоплителни тръбопроводни инсталации</w:t>
      </w:r>
      <w:r>
        <w:rPr>
          <w:rStyle w:val="apple-converted-space"/>
          <w:color w:val="000000"/>
          <w:sz w:val="27"/>
          <w:szCs w:val="27"/>
        </w:rPr>
        <w:t> </w:t>
      </w:r>
      <w:r>
        <w:rPr>
          <w:color w:val="000000"/>
          <w:sz w:val="27"/>
          <w:szCs w:val="27"/>
        </w:rPr>
        <w:br/>
        <w:t>Инсталиране на котли за отопление</w:t>
      </w:r>
      <w:r>
        <w:rPr>
          <w:rStyle w:val="apple-converted-space"/>
          <w:color w:val="000000"/>
          <w:sz w:val="27"/>
          <w:szCs w:val="27"/>
        </w:rPr>
        <w:t> </w:t>
      </w:r>
      <w:r>
        <w:rPr>
          <w:color w:val="000000"/>
          <w:sz w:val="27"/>
          <w:szCs w:val="27"/>
        </w:rPr>
        <w:br/>
        <w:t>Строителни и монтажни работи по общо изграждане на основни училища</w:t>
      </w:r>
      <w:r>
        <w:rPr>
          <w:rStyle w:val="apple-converted-space"/>
          <w:color w:val="000000"/>
          <w:sz w:val="27"/>
          <w:szCs w:val="27"/>
        </w:rPr>
        <w:t> </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КОЛИЧЕСТВО ИЛИ ОБЕМ:</w:t>
      </w:r>
    </w:p>
    <w:p w:rsidR="00C60BCB" w:rsidRDefault="00C60BCB" w:rsidP="00C60BCB">
      <w:pPr>
        <w:rPr>
          <w:color w:val="000000"/>
          <w:sz w:val="27"/>
          <w:szCs w:val="27"/>
        </w:rPr>
      </w:pPr>
      <w:r>
        <w:rPr>
          <w:color w:val="000000"/>
          <w:sz w:val="27"/>
          <w:szCs w:val="27"/>
        </w:rPr>
        <w:lastRenderedPageBreak/>
        <w:t>I. Строително-монтажните работи, предвидени за извършване, са описани подробно по видове и количества в съответната приложена Количествена сметка и документация. Дейностите по изпълнението включват: - изграждането на нова отоплителна инсталация, ремонт на стените след изграждането и извеждане на повърхностните води наводняващи сградата на общежитието и училището, както и други дейности посочени в приложената Количествена сметка. II. Срокът на валидност на офертите - не по-малък от 90 календарни дни, считано от деня, следващ деня на крайния срок за подаване на офертите; III. Преди подписване на договора за възлагане изпълнението на поръчката, участникът определен за изпълнител, следва да представи документите по чл.101е, ал. 2 от ЗОП и гаранция за изпълнение на договора в размер на 3% от общата достигната цена по договора.</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ПРОГНОЗНА СТОЙНОСТ:</w:t>
      </w:r>
    </w:p>
    <w:p w:rsidR="00C60BCB" w:rsidRDefault="00C60BCB" w:rsidP="00C60BCB">
      <w:pPr>
        <w:rPr>
          <w:color w:val="000000"/>
          <w:sz w:val="27"/>
          <w:szCs w:val="27"/>
        </w:rPr>
      </w:pPr>
      <w:r>
        <w:rPr>
          <w:color w:val="000000"/>
          <w:sz w:val="27"/>
          <w:szCs w:val="27"/>
        </w:rPr>
        <w:t>109000 BGN</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МЯСТО НА ИЗПЪЛНЕНИЕ НА ПОРЪЧКАТА:</w:t>
      </w:r>
    </w:p>
    <w:p w:rsidR="00C60BCB" w:rsidRDefault="00C60BCB" w:rsidP="00C60BCB">
      <w:pPr>
        <w:rPr>
          <w:color w:val="000000"/>
          <w:sz w:val="27"/>
          <w:szCs w:val="27"/>
        </w:rPr>
      </w:pPr>
      <w:r>
        <w:rPr>
          <w:color w:val="000000"/>
          <w:sz w:val="27"/>
          <w:szCs w:val="27"/>
        </w:rPr>
        <w:t xml:space="preserve">Сградата на ОУ „Васил </w:t>
      </w:r>
      <w:proofErr w:type="spellStart"/>
      <w:r>
        <w:rPr>
          <w:color w:val="000000"/>
          <w:sz w:val="27"/>
          <w:szCs w:val="27"/>
        </w:rPr>
        <w:t>Априлов</w:t>
      </w:r>
      <w:proofErr w:type="spellEnd"/>
      <w:r>
        <w:rPr>
          <w:color w:val="000000"/>
          <w:sz w:val="27"/>
          <w:szCs w:val="27"/>
        </w:rPr>
        <w:t>“, с. Голеш, Община Кайнарджа, Област Силистра</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NUTS:</w:t>
      </w:r>
    </w:p>
    <w:p w:rsidR="00C60BCB" w:rsidRDefault="00C60BCB" w:rsidP="00C60BCB">
      <w:pPr>
        <w:rPr>
          <w:color w:val="000000"/>
          <w:sz w:val="27"/>
          <w:szCs w:val="27"/>
        </w:rPr>
      </w:pPr>
      <w:r>
        <w:rPr>
          <w:color w:val="000000"/>
          <w:sz w:val="27"/>
          <w:szCs w:val="27"/>
        </w:rPr>
        <w:t>BG325</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ИЗИСКВАНИЯ ЗА ИЗПЪЛНЕНИЕ НА ПОРЪЧКАТА:</w:t>
      </w:r>
    </w:p>
    <w:p w:rsidR="00C60BCB" w:rsidRDefault="00C60BCB" w:rsidP="00C60BCB">
      <w:pPr>
        <w:rPr>
          <w:color w:val="000000"/>
          <w:sz w:val="27"/>
          <w:szCs w:val="27"/>
        </w:rPr>
      </w:pPr>
      <w:r>
        <w:rPr>
          <w:color w:val="000000"/>
          <w:sz w:val="27"/>
          <w:szCs w:val="27"/>
        </w:rPr>
        <w:t xml:space="preserve">I. Крайният срок за изпълнение на поръчката е съгласно офертата на ИЗПЪЛНИТЕЛЯ, но не повече от 90 календарни дни от подписването на “Протокол за предаване на обекта и започване на изпълнението на поръчката“ от представители на Възложителя и Изпълнителя. С оглед недопускане на офериране на нереално кратки срокове, Възложителят определя за минимален срок на изпълнение на настоящата поръчка 30 календарни дни. При изготвяне на своите предложения участниците следва задължително да се съобразят с така посочения максимален срок за изпълнение на поръчката, като при констатиране на предложения над максималния, ще бъдат отстранени от участие в процедурата. II. Предвиденият бюджет за изпълнението на поръчката е общо в размер до 109000 лева (сто и девет хиляди лева), без ДДС. Участници, предложили ценови предложения, надвишаващи тази стойност, ще бъдат отстранени. Начин на плащане: 1. Първо плащане в размер на 50 % (петдесет процента) от стойността на договора без ДДС. Изплаща се в 10-дневен срок от влизане в сила на договора и представяне на оригинална фактура, на стойност равна на стойността на аванса; 2. Окончателното плащане в размер оставащата сума по договора се извършва в 10 (десет) дневен срок след подписване на протокола за приемане на изпълнението на </w:t>
      </w:r>
      <w:r>
        <w:rPr>
          <w:color w:val="000000"/>
          <w:sz w:val="27"/>
          <w:szCs w:val="27"/>
        </w:rPr>
        <w:lastRenderedPageBreak/>
        <w:t xml:space="preserve">договора и представяне на оригинална фактура от Изпълнителя. III. Изисквания към участниците: 1. Възложителят няма да сключи договор за възлагане на обществената поръчка с лице, за което са налице обстоятелствата по чл. 47, ал. 1, т. 1, б. „а” - „д” и ал. 5 от ЗОП. 2. Технически изисквания и/или квалификация. 2.1. Участниците следва да имат изпълнено строителството, еднакво или сходно с предмета на обществената поръчка, изпълнено през последните 5 години, считано от датата на подаване на офертата. Възложителят приема за „сходно" с предмета на поръчката - строителство и/или реконструкция и/или ремонт на сгради; 2.2. Участникът трябва да има на разположение екип от експерти, притежаващи необходимата професионална квалификация и опит, съответстващи на спецификата на поръчката, пряко ангажирани за изпълнението на строителството, а именно: а) Технически ръководител на обекта- трябва да отговаря на следните изисквания: - Да има минимум завършено </w:t>
      </w:r>
      <w:proofErr w:type="spellStart"/>
      <w:r>
        <w:rPr>
          <w:color w:val="000000"/>
          <w:sz w:val="27"/>
          <w:szCs w:val="27"/>
        </w:rPr>
        <w:t>образованиe</w:t>
      </w:r>
      <w:proofErr w:type="spellEnd"/>
      <w:r>
        <w:rPr>
          <w:color w:val="000000"/>
          <w:sz w:val="27"/>
          <w:szCs w:val="27"/>
        </w:rPr>
        <w:t xml:space="preserve"> – съгласно изискванията на чл.163а на ЗУТ;- Да има най-малко 3 (три) години опит като технически ръководител на строителни обекти б) Координатор по безопасност и здраве в строителството – трябва да отговаря на следните условия:- Да има удостоверение за ,,Координатор по безопасност и здраве в </w:t>
      </w:r>
      <w:proofErr w:type="spellStart"/>
      <w:r>
        <w:rPr>
          <w:color w:val="000000"/>
          <w:sz w:val="27"/>
          <w:szCs w:val="27"/>
        </w:rPr>
        <w:t>строителството''</w:t>
      </w:r>
      <w:proofErr w:type="spellEnd"/>
      <w:r>
        <w:rPr>
          <w:color w:val="000000"/>
          <w:sz w:val="27"/>
          <w:szCs w:val="27"/>
        </w:rPr>
        <w:t xml:space="preserve"> или еквивалентно- Да има най-малко1 година опит като координатор на строителни обекти по ЗБУТ. Техническият ръководител, и координатора по безопасност и здраве не могат да бъдат едно и също лице. IV. Повече информация относно изискуемите документи, пълният текст на методиката за оценка, както и образци на документи се съдържат в документацията към публичната покана на посочения адрес на профила на купувача или на адрес: с. Кайнарджа, 7550, ул. "Димитър Дончев“ № 2, всеки раб. ден от 9:00 до 16:00 ч. V. Дата, час и място на отваряне на офертите - на 07.07.2015г. от 10:00 ч. в сградата на Община Кайнарджа на адрес: с. Кайнарджа, ул. "Димитър Дончев“ № 2.</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КРИТЕРИЙ ЗА ВЪЗЛАГАНЕ:</w:t>
      </w:r>
    </w:p>
    <w:p w:rsidR="00C60BCB" w:rsidRDefault="00C60BCB" w:rsidP="00C60BCB">
      <w:pPr>
        <w:rPr>
          <w:color w:val="000000"/>
          <w:sz w:val="27"/>
          <w:szCs w:val="27"/>
        </w:rPr>
      </w:pPr>
      <w:r>
        <w:rPr>
          <w:color w:val="000000"/>
          <w:sz w:val="27"/>
          <w:szCs w:val="27"/>
        </w:rPr>
        <w:t>Икономически най-изгодна оферта</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ПОКАЗАТЕЛИ ЗА ОЦЕНКА НА ОФЕРТИТЕ:</w:t>
      </w:r>
    </w:p>
    <w:p w:rsidR="00C60BCB" w:rsidRDefault="00C60BCB" w:rsidP="00C60BCB">
      <w:pPr>
        <w:rPr>
          <w:color w:val="000000"/>
          <w:sz w:val="27"/>
          <w:szCs w:val="27"/>
        </w:rPr>
      </w:pPr>
      <w:r>
        <w:rPr>
          <w:color w:val="000000"/>
          <w:sz w:val="27"/>
          <w:szCs w:val="27"/>
        </w:rPr>
        <w:t xml:space="preserve">Методика за определяне на комплексната оценка: Класирането на допуснатите до оценка оферти се извършва на база получената от всяка оферта „Комплексна оценка” (КО). Максималният брой точки, който може да получи дадена оферта, е 100 точки. На първо място се класира участникът с най-висока комплексна оценка на офертата. „Комплексната оценка” се определя на база следните показатели: 1. Срок за изпълнение – П1, с </w:t>
      </w:r>
      <w:proofErr w:type="spellStart"/>
      <w:r>
        <w:rPr>
          <w:color w:val="000000"/>
          <w:sz w:val="27"/>
          <w:szCs w:val="27"/>
        </w:rPr>
        <w:t>макс</w:t>
      </w:r>
      <w:proofErr w:type="spellEnd"/>
      <w:r>
        <w:rPr>
          <w:color w:val="000000"/>
          <w:sz w:val="27"/>
          <w:szCs w:val="27"/>
        </w:rPr>
        <w:t xml:space="preserve">. брой точки 100 и относителна тежест в КО - 10%; 2. Техническо предложение –П2, с </w:t>
      </w:r>
      <w:proofErr w:type="spellStart"/>
      <w:r>
        <w:rPr>
          <w:color w:val="000000"/>
          <w:sz w:val="27"/>
          <w:szCs w:val="27"/>
        </w:rPr>
        <w:t>макс</w:t>
      </w:r>
      <w:proofErr w:type="spellEnd"/>
      <w:r>
        <w:rPr>
          <w:color w:val="000000"/>
          <w:sz w:val="27"/>
          <w:szCs w:val="27"/>
        </w:rPr>
        <w:t xml:space="preserve">. бр. точки - 100 и </w:t>
      </w:r>
      <w:proofErr w:type="spellStart"/>
      <w:r>
        <w:rPr>
          <w:color w:val="000000"/>
          <w:sz w:val="27"/>
          <w:szCs w:val="27"/>
        </w:rPr>
        <w:t>относ</w:t>
      </w:r>
      <w:proofErr w:type="spellEnd"/>
      <w:r>
        <w:rPr>
          <w:color w:val="000000"/>
          <w:sz w:val="27"/>
          <w:szCs w:val="27"/>
        </w:rPr>
        <w:t xml:space="preserve">. тежест в КО - 50%; 3. Ценово предложение – П3, с </w:t>
      </w:r>
      <w:proofErr w:type="spellStart"/>
      <w:r>
        <w:rPr>
          <w:color w:val="000000"/>
          <w:sz w:val="27"/>
          <w:szCs w:val="27"/>
        </w:rPr>
        <w:t>макс</w:t>
      </w:r>
      <w:proofErr w:type="spellEnd"/>
      <w:r>
        <w:rPr>
          <w:color w:val="000000"/>
          <w:sz w:val="27"/>
          <w:szCs w:val="27"/>
        </w:rPr>
        <w:t xml:space="preserve">. бр. точки 100 и </w:t>
      </w:r>
      <w:proofErr w:type="spellStart"/>
      <w:r>
        <w:rPr>
          <w:color w:val="000000"/>
          <w:sz w:val="27"/>
          <w:szCs w:val="27"/>
        </w:rPr>
        <w:t>относ</w:t>
      </w:r>
      <w:proofErr w:type="spellEnd"/>
      <w:r>
        <w:rPr>
          <w:color w:val="000000"/>
          <w:sz w:val="27"/>
          <w:szCs w:val="27"/>
        </w:rPr>
        <w:t xml:space="preserve">. тежест в КО - 40%; Формулата, по която се изчислява КО за всеки участник е: </w:t>
      </w:r>
      <w:r>
        <w:rPr>
          <w:color w:val="000000"/>
          <w:sz w:val="27"/>
          <w:szCs w:val="27"/>
        </w:rPr>
        <w:lastRenderedPageBreak/>
        <w:t xml:space="preserve">КО=П1х10%+П2х50%+П3х40%. Оценката на всеки един от показателите се формира, както следва: 1. </w:t>
      </w:r>
      <w:proofErr w:type="spellStart"/>
      <w:r>
        <w:rPr>
          <w:color w:val="000000"/>
          <w:sz w:val="27"/>
          <w:szCs w:val="27"/>
        </w:rPr>
        <w:t>Пок</w:t>
      </w:r>
      <w:proofErr w:type="spellEnd"/>
      <w:r>
        <w:rPr>
          <w:color w:val="000000"/>
          <w:sz w:val="27"/>
          <w:szCs w:val="27"/>
        </w:rPr>
        <w:t>. П1 - Оценява се предложения от участника срок за изпълнение на поръчката в календарни дни. Предложенията се представят като цяло число в дни. Предложения, в различна мерна единица, и/или с разминаване между предложения срок за изпълнение и линейния график ще се отстраняват. Оценките се изчисляват по формулата: П1=(</w:t>
      </w:r>
      <w:proofErr w:type="spellStart"/>
      <w:r>
        <w:rPr>
          <w:color w:val="000000"/>
          <w:sz w:val="27"/>
          <w:szCs w:val="27"/>
        </w:rPr>
        <w:t>Сmin</w:t>
      </w:r>
      <w:proofErr w:type="spellEnd"/>
      <w:r>
        <w:rPr>
          <w:color w:val="000000"/>
          <w:sz w:val="27"/>
          <w:szCs w:val="27"/>
        </w:rPr>
        <w:t>/</w:t>
      </w:r>
      <w:proofErr w:type="spellStart"/>
      <w:r>
        <w:rPr>
          <w:color w:val="000000"/>
          <w:sz w:val="27"/>
          <w:szCs w:val="27"/>
        </w:rPr>
        <w:t>Сi</w:t>
      </w:r>
      <w:proofErr w:type="spellEnd"/>
      <w:r>
        <w:rPr>
          <w:color w:val="000000"/>
          <w:sz w:val="27"/>
          <w:szCs w:val="27"/>
        </w:rPr>
        <w:t xml:space="preserve">)х100=...(брой точки), като </w:t>
      </w:r>
      <w:proofErr w:type="spellStart"/>
      <w:r>
        <w:rPr>
          <w:color w:val="000000"/>
          <w:sz w:val="27"/>
          <w:szCs w:val="27"/>
        </w:rPr>
        <w:t>Сi</w:t>
      </w:r>
      <w:proofErr w:type="spellEnd"/>
      <w:r>
        <w:rPr>
          <w:color w:val="000000"/>
          <w:sz w:val="27"/>
          <w:szCs w:val="27"/>
        </w:rPr>
        <w:t xml:space="preserve"> е предложения срок на съответния участник, а </w:t>
      </w:r>
      <w:proofErr w:type="spellStart"/>
      <w:r>
        <w:rPr>
          <w:color w:val="000000"/>
          <w:sz w:val="27"/>
          <w:szCs w:val="27"/>
        </w:rPr>
        <w:t>Сmin</w:t>
      </w:r>
      <w:proofErr w:type="spellEnd"/>
      <w:r>
        <w:rPr>
          <w:color w:val="000000"/>
          <w:sz w:val="27"/>
          <w:szCs w:val="27"/>
        </w:rPr>
        <w:t xml:space="preserve"> е минималния предложен срок от всички допуснати до оценка участници. Мин. срок на изпълнение 30 календарни дни. Макс. срок-90 календарни дни, като предложенията над максималния срок ще бъдат отстранени от участие в процедурата; 2.Показател П2-Извършва се оценка на предложената от Участника Концепция за изпълнение, която ще се формира както следва: Проверяват се представените от участниците описание на отделните етапи на изпълнение на поръчката, описанието на видовете СМР и тяхната последователност на изпълнение, организацията и подхода на изпълнение и съответствието им с представения Линеен график с приложени диаграми на работната ръка и предвидената механизация. Отстраняват офертите, които не отговарят на изискванията на възложителя и не обезпечават качественото и в срок изпълнение на поръчката и/или съдържат в себе си части, които не се отнасят за настоящата обществена поръчка, видно от представената техническа оферта. По отношение на офертите на допуснатите участници се прилага методиката за оценка, като се изследват предимствата и недостатъците на съответната оферта. Допуснатите оферти се подлагат на анализ и се оценяват в градираща степен, като оферти, съдържащи предимства по отношение на останалите получава по-висока оценка при съблюдаване на следните критерии: 1 точка получава оферта, съдържаща техническо предложение, което с посочените обхват, дейности и технология, етапи, последователност, организация и подход на предвижданите СМР и поставените като цел резултати отговаря на изискванията на Възложителя и съдържа предложение по всички фактори, влияещи на оценката, като по отношение на така формулираното предложение не могат да бъдат отчетени предимства спрямо останалите оферти, и същото не е ясно, подробно и/или съдържа несъществени пропуски и частично съответствие. 50 точки получава оферта, съдържаща техническо предложение, което с посочените обхват, дейности и технология, етапи, последователност, организация и подход на предвижданите СМР и поставените като цел резултати отговаря на изискванията на Възложителя и съдържа по всички фактори, влияещи на оценката, предложение, което е последователно, ясно и подробно, отчетено като предимство спрямо други оферти, и е в сила поне едно от посочени по-долу обстоятелства или са в сила всичките, но по отношение на някое от тях са констатирани несъществени пропуски и частично съответствие:-Последователно и подробно са описани отделните етапи на изпълнение на поръчката; .. продължава в "Допълнителна информация"</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lastRenderedPageBreak/>
        <w:t>СРОК ЗА ПОЛУЧАВАНЕ НА ОФЕРТИТЕ:</w:t>
      </w:r>
    </w:p>
    <w:p w:rsidR="00C60BCB" w:rsidRDefault="00C60BCB" w:rsidP="00C60BCB">
      <w:pPr>
        <w:rPr>
          <w:color w:val="000000"/>
          <w:sz w:val="27"/>
          <w:szCs w:val="27"/>
        </w:rPr>
      </w:pPr>
      <w:r>
        <w:rPr>
          <w:color w:val="000000"/>
          <w:sz w:val="27"/>
          <w:szCs w:val="27"/>
        </w:rPr>
        <w:t>02/07/2015 17:00</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ЕВРОПЕЙСКО ФИНАНСИРАНЕ:</w:t>
      </w:r>
    </w:p>
    <w:p w:rsidR="00C60BCB" w:rsidRDefault="00C60BCB" w:rsidP="00C60BCB">
      <w:pPr>
        <w:rPr>
          <w:color w:val="000000"/>
          <w:sz w:val="27"/>
          <w:szCs w:val="27"/>
        </w:rPr>
      </w:pPr>
      <w:r>
        <w:rPr>
          <w:color w:val="000000"/>
          <w:sz w:val="27"/>
          <w:szCs w:val="27"/>
        </w:rPr>
        <w:t>НЕ</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ДОПЪЛНИТЕЛНА ИНФОРМАЦИЯ:</w:t>
      </w:r>
    </w:p>
    <w:p w:rsidR="00C60BCB" w:rsidRDefault="00C60BCB" w:rsidP="00C60BCB">
      <w:pPr>
        <w:rPr>
          <w:color w:val="000000"/>
          <w:sz w:val="27"/>
          <w:szCs w:val="27"/>
        </w:rPr>
      </w:pPr>
      <w:r>
        <w:rPr>
          <w:color w:val="000000"/>
          <w:sz w:val="27"/>
          <w:szCs w:val="27"/>
        </w:rPr>
        <w:t xml:space="preserve">II. Продължение от раздел показатели за оценка на офертите:;- ясно и подробно са посочени в обяснителната записка от техническото предложение видовете СМР и последователността на тяхното изпълнение, в съответствие с изискванията на техническите спецификации, в оптимална комбинация с предвидените за използване технически и човешки ресурси;- Предлаганите методи за организация, контрол, използвани технологии, съответстват на технологичните изисквания към предложените видове материали, описани конкретно в предложението и придружени със съответните сертификати/декларации за съответствие, приложени към техническата оферта; - Налице е пълно съответствие между описаната технологична последователност на изпълнение на предвидените видове СМР, предвидения за използване технически и човешки ресурс, както и представения линеен график с приложени диаграми на работната ръка и предвидената механизация; -В предложението са представени всички възможни аспекти на идентифицираните* рискове, при което са предвидени конкретни и адекватни мерки по тяхната превенция и управление 100 точки получава оферта, съдържаща техническо предложение, което с посочените обхват, дейности и технология, етапи, последователност, организация и подход на предвижданите СМР и поставените като цел резултати отговаря на изискванията на Възложителя и съдържа последователно, детайлно, ясно и подробно предложение по всички фактори, влияещи на оценката и е в сила всяко едно от следните обстоятелства, отчитани като предимства спрямо останалите оферти: -Последователно и подробно са описани отделните етапи на изпълнение на поръчката; -Ясно и подробно са посочени в обяснителната записка от техническото предложение видовете СМР и последователността на тяхното изпълнение, в съответствие с изискванията на техническите спецификации, в оптимална комбинация с предвидените за използване технически и човешки ресурси; -Предлаганите методи за организация, контрол, използвани технологии съответстват на технологичните изисквания към предложените видове материали, описани конкретно в предложението и придружени със съответните сертификати/декларации за съответствие, приложени към техническата оферта; -Налице е пълно съответствие между описаната технологична последователност на изпълнение на предвидените видове СМР, предвидения за използване технически и човешки ресурс, както и представения линеен график с приложени диаграми на работната ръка и </w:t>
      </w:r>
      <w:r>
        <w:rPr>
          <w:color w:val="000000"/>
          <w:sz w:val="27"/>
          <w:szCs w:val="27"/>
        </w:rPr>
        <w:lastRenderedPageBreak/>
        <w:t>предвидената механизация; -В предложението са представени всички възможни аспекти на идентифицираните* рискове, при което са предвидени конкретни и адекватни мерки по тяхната превенция и управление. *Идентифицирани рискове: времеви рискове (закъснение/изоставане при стартиране, текущо изпълнение или приключване на дейностите по реализация на проекта; липса на координация или съдействие от някоя от страните в строителния процес; констатирано технологично неправилно или некачествено изпълнение на дейност; 3.Показател П3 - До оценка по този показател се допускат само оферти, които съответстват на условията за изпълнение на обществената поръчка. Оценките на офертите по показателя се изчисляват по формулата: П3 = (</w:t>
      </w:r>
      <w:proofErr w:type="spellStart"/>
      <w:r>
        <w:rPr>
          <w:color w:val="000000"/>
          <w:sz w:val="27"/>
          <w:szCs w:val="27"/>
        </w:rPr>
        <w:t>Цmin</w:t>
      </w:r>
      <w:proofErr w:type="spellEnd"/>
      <w:r>
        <w:rPr>
          <w:color w:val="000000"/>
          <w:sz w:val="27"/>
          <w:szCs w:val="27"/>
        </w:rPr>
        <w:t xml:space="preserve"> / </w:t>
      </w:r>
      <w:proofErr w:type="spellStart"/>
      <w:r>
        <w:rPr>
          <w:color w:val="000000"/>
          <w:sz w:val="27"/>
          <w:szCs w:val="27"/>
        </w:rPr>
        <w:t>Цi</w:t>
      </w:r>
      <w:proofErr w:type="spellEnd"/>
      <w:r>
        <w:rPr>
          <w:color w:val="000000"/>
          <w:sz w:val="27"/>
          <w:szCs w:val="27"/>
        </w:rPr>
        <w:t xml:space="preserve">) х 100 = .......... (брой точки), където </w:t>
      </w:r>
      <w:proofErr w:type="spellStart"/>
      <w:r>
        <w:rPr>
          <w:color w:val="000000"/>
          <w:sz w:val="27"/>
          <w:szCs w:val="27"/>
        </w:rPr>
        <w:t>Цi</w:t>
      </w:r>
      <w:proofErr w:type="spellEnd"/>
      <w:r>
        <w:rPr>
          <w:color w:val="000000"/>
          <w:sz w:val="27"/>
          <w:szCs w:val="27"/>
        </w:rPr>
        <w:t xml:space="preserve"> е предложената обща цена за СМР, в лева без ДДС, съгласно Ценовото предложение на съответния участник, а </w:t>
      </w:r>
      <w:proofErr w:type="spellStart"/>
      <w:r>
        <w:rPr>
          <w:color w:val="000000"/>
          <w:sz w:val="27"/>
          <w:szCs w:val="27"/>
        </w:rPr>
        <w:t>Цmin</w:t>
      </w:r>
      <w:proofErr w:type="spellEnd"/>
      <w:r>
        <w:rPr>
          <w:color w:val="000000"/>
          <w:sz w:val="27"/>
          <w:szCs w:val="27"/>
        </w:rPr>
        <w:t xml:space="preserve"> е минималната предложена обща цена за СМР, в лева без ДДС съгласно Ценовите предложения на всички участници.Забележка: Тълкуванията на използваните в методиката определения и пълният текст на </w:t>
      </w:r>
      <w:proofErr w:type="spellStart"/>
      <w:r>
        <w:rPr>
          <w:color w:val="000000"/>
          <w:sz w:val="27"/>
          <w:szCs w:val="27"/>
        </w:rPr>
        <w:t>мет</w:t>
      </w:r>
      <w:proofErr w:type="spellEnd"/>
      <w:r>
        <w:rPr>
          <w:color w:val="000000"/>
          <w:sz w:val="27"/>
          <w:szCs w:val="27"/>
        </w:rPr>
        <w:t>. за оценка се съдържат в документацията към публичната покана на посочения адрес на профила на купувача.</w:t>
      </w:r>
    </w:p>
    <w:p w:rsidR="00C60BCB" w:rsidRDefault="00C60BCB" w:rsidP="00C60BCB">
      <w:pPr>
        <w:rPr>
          <w:color w:val="000000"/>
          <w:sz w:val="27"/>
          <w:szCs w:val="27"/>
        </w:rPr>
      </w:pPr>
    </w:p>
    <w:p w:rsidR="00C60BCB" w:rsidRDefault="00C60BCB" w:rsidP="00C60BCB">
      <w:pPr>
        <w:pStyle w:val="tigrseq"/>
        <w:spacing w:before="0" w:beforeAutospacing="0" w:after="150" w:afterAutospacing="0" w:line="384" w:lineRule="atLeast"/>
        <w:jc w:val="both"/>
        <w:rPr>
          <w:b/>
          <w:bCs/>
          <w:color w:val="000000"/>
          <w:sz w:val="27"/>
          <w:szCs w:val="27"/>
          <w:u w:val="single"/>
        </w:rPr>
      </w:pPr>
      <w:r>
        <w:rPr>
          <w:b/>
          <w:bCs/>
          <w:color w:val="000000"/>
          <w:sz w:val="27"/>
          <w:szCs w:val="27"/>
          <w:u w:val="single"/>
        </w:rPr>
        <w:t>СРОК НА ВАЛИДНОСТ НА ПУБЛИЧНАТА ПОКАНА:</w:t>
      </w:r>
    </w:p>
    <w:p w:rsidR="00C60BCB" w:rsidRDefault="00C60BCB" w:rsidP="00C60BCB">
      <w:pPr>
        <w:rPr>
          <w:color w:val="000000"/>
          <w:sz w:val="27"/>
          <w:szCs w:val="27"/>
        </w:rPr>
      </w:pPr>
      <w:r>
        <w:rPr>
          <w:color w:val="000000"/>
          <w:sz w:val="27"/>
          <w:szCs w:val="27"/>
        </w:rPr>
        <w:t>02/07/2015</w:t>
      </w:r>
    </w:p>
    <w:p w:rsidR="0022608B" w:rsidRDefault="0022608B"/>
    <w:sectPr w:rsidR="0022608B" w:rsidSect="002260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0BCB"/>
    <w:rsid w:val="0022608B"/>
    <w:rsid w:val="00961A06"/>
    <w:rsid w:val="00C03627"/>
    <w:rsid w:val="00C60BCB"/>
    <w:rsid w:val="00D33A0A"/>
    <w:rsid w:val="00D51529"/>
    <w:rsid w:val="00F84C58"/>
    <w:rsid w:val="00FC53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BCB"/>
    <w:pPr>
      <w:spacing w:before="100" w:beforeAutospacing="1" w:after="100" w:afterAutospacing="1"/>
    </w:pPr>
  </w:style>
  <w:style w:type="paragraph" w:customStyle="1" w:styleId="tigrseq">
    <w:name w:val="tigrseq"/>
    <w:basedOn w:val="a"/>
    <w:rsid w:val="00C60BCB"/>
    <w:pPr>
      <w:spacing w:before="100" w:beforeAutospacing="1" w:after="100" w:afterAutospacing="1"/>
    </w:pPr>
  </w:style>
  <w:style w:type="character" w:customStyle="1" w:styleId="timark">
    <w:name w:val="timark"/>
    <w:basedOn w:val="a0"/>
    <w:rsid w:val="00C60BCB"/>
  </w:style>
  <w:style w:type="paragraph" w:customStyle="1" w:styleId="addr">
    <w:name w:val="addr"/>
    <w:basedOn w:val="a"/>
    <w:rsid w:val="00C60BCB"/>
    <w:pPr>
      <w:spacing w:before="100" w:beforeAutospacing="1" w:after="100" w:afterAutospacing="1"/>
    </w:pPr>
  </w:style>
  <w:style w:type="character" w:customStyle="1" w:styleId="apple-converted-space">
    <w:name w:val="apple-converted-space"/>
    <w:basedOn w:val="a0"/>
    <w:rsid w:val="00C60BCB"/>
  </w:style>
  <w:style w:type="character" w:styleId="a4">
    <w:name w:val="Hyperlink"/>
    <w:basedOn w:val="a0"/>
    <w:uiPriority w:val="99"/>
    <w:semiHidden/>
    <w:unhideWhenUsed/>
    <w:rsid w:val="00C60BCB"/>
    <w:rPr>
      <w:color w:val="0000FF"/>
      <w:u w:val="single"/>
    </w:rPr>
  </w:style>
  <w:style w:type="paragraph" w:customStyle="1" w:styleId="txurl">
    <w:name w:val="txurl"/>
    <w:basedOn w:val="a"/>
    <w:rsid w:val="00C60BCB"/>
    <w:pPr>
      <w:spacing w:before="100" w:beforeAutospacing="1" w:after="100" w:afterAutospacing="1"/>
    </w:pPr>
  </w:style>
  <w:style w:type="character" w:customStyle="1" w:styleId="txcpv">
    <w:name w:val="txcpv"/>
    <w:basedOn w:val="a0"/>
    <w:rsid w:val="00C60BCB"/>
  </w:style>
</w:styles>
</file>

<file path=word/webSettings.xml><?xml version="1.0" encoding="utf-8"?>
<w:webSettings xmlns:r="http://schemas.openxmlformats.org/officeDocument/2006/relationships" xmlns:w="http://schemas.openxmlformats.org/wordprocessingml/2006/main">
  <w:divs>
    <w:div w:id="1135217198">
      <w:bodyDiv w:val="1"/>
      <w:marLeft w:val="0"/>
      <w:marRight w:val="0"/>
      <w:marTop w:val="0"/>
      <w:marBottom w:val="0"/>
      <w:divBdr>
        <w:top w:val="none" w:sz="0" w:space="0" w:color="auto"/>
        <w:left w:val="none" w:sz="0" w:space="0" w:color="auto"/>
        <w:bottom w:val="none" w:sz="0" w:space="0" w:color="auto"/>
        <w:right w:val="none" w:sz="0" w:space="0" w:color="auto"/>
      </w:divBdr>
      <w:divsChild>
        <w:div w:id="1594315824">
          <w:marLeft w:val="0"/>
          <w:marRight w:val="0"/>
          <w:marTop w:val="0"/>
          <w:marBottom w:val="0"/>
          <w:divBdr>
            <w:top w:val="none" w:sz="0" w:space="0" w:color="auto"/>
            <w:left w:val="none" w:sz="0" w:space="0" w:color="auto"/>
            <w:bottom w:val="none" w:sz="0" w:space="0" w:color="auto"/>
            <w:right w:val="none" w:sz="0" w:space="0" w:color="auto"/>
          </w:divBdr>
          <w:divsChild>
            <w:div w:id="1188906818">
              <w:marLeft w:val="0"/>
              <w:marRight w:val="0"/>
              <w:marTop w:val="150"/>
              <w:marBottom w:val="150"/>
              <w:divBdr>
                <w:top w:val="none" w:sz="0" w:space="0" w:color="auto"/>
                <w:left w:val="none" w:sz="0" w:space="0" w:color="auto"/>
                <w:bottom w:val="none" w:sz="0" w:space="0" w:color="auto"/>
                <w:right w:val="none" w:sz="0" w:space="0" w:color="auto"/>
              </w:divBdr>
              <w:divsChild>
                <w:div w:id="1791707530">
                  <w:marLeft w:val="300"/>
                  <w:marRight w:val="0"/>
                  <w:marTop w:val="75"/>
                  <w:marBottom w:val="0"/>
                  <w:divBdr>
                    <w:top w:val="none" w:sz="0" w:space="0" w:color="auto"/>
                    <w:left w:val="none" w:sz="0" w:space="0" w:color="auto"/>
                    <w:bottom w:val="none" w:sz="0" w:space="0" w:color="auto"/>
                    <w:right w:val="none" w:sz="0" w:space="0" w:color="auto"/>
                  </w:divBdr>
                  <w:divsChild>
                    <w:div w:id="282004010">
                      <w:marLeft w:val="750"/>
                      <w:marRight w:val="0"/>
                      <w:marTop w:val="0"/>
                      <w:marBottom w:val="0"/>
                      <w:divBdr>
                        <w:top w:val="none" w:sz="0" w:space="0" w:color="auto"/>
                        <w:left w:val="none" w:sz="0" w:space="0" w:color="auto"/>
                        <w:bottom w:val="none" w:sz="0" w:space="0" w:color="auto"/>
                        <w:right w:val="none" w:sz="0" w:space="0" w:color="auto"/>
                      </w:divBdr>
                    </w:div>
                  </w:divsChild>
                </w:div>
                <w:div w:id="1924293665">
                  <w:marLeft w:val="300"/>
                  <w:marRight w:val="0"/>
                  <w:marTop w:val="75"/>
                  <w:marBottom w:val="0"/>
                  <w:divBdr>
                    <w:top w:val="none" w:sz="0" w:space="0" w:color="auto"/>
                    <w:left w:val="none" w:sz="0" w:space="0" w:color="auto"/>
                    <w:bottom w:val="none" w:sz="0" w:space="0" w:color="auto"/>
                    <w:right w:val="none" w:sz="0" w:space="0" w:color="auto"/>
                  </w:divBdr>
                  <w:divsChild>
                    <w:div w:id="1276712250">
                      <w:marLeft w:val="750"/>
                      <w:marRight w:val="0"/>
                      <w:marTop w:val="0"/>
                      <w:marBottom w:val="0"/>
                      <w:divBdr>
                        <w:top w:val="none" w:sz="0" w:space="0" w:color="auto"/>
                        <w:left w:val="none" w:sz="0" w:space="0" w:color="auto"/>
                        <w:bottom w:val="none" w:sz="0" w:space="0" w:color="auto"/>
                        <w:right w:val="none" w:sz="0" w:space="0" w:color="auto"/>
                      </w:divBdr>
                    </w:div>
                  </w:divsChild>
                </w:div>
                <w:div w:id="581986465">
                  <w:marLeft w:val="300"/>
                  <w:marRight w:val="0"/>
                  <w:marTop w:val="75"/>
                  <w:marBottom w:val="0"/>
                  <w:divBdr>
                    <w:top w:val="none" w:sz="0" w:space="0" w:color="auto"/>
                    <w:left w:val="none" w:sz="0" w:space="0" w:color="auto"/>
                    <w:bottom w:val="none" w:sz="0" w:space="0" w:color="auto"/>
                    <w:right w:val="none" w:sz="0" w:space="0" w:color="auto"/>
                  </w:divBdr>
                  <w:divsChild>
                    <w:div w:id="1852865996">
                      <w:marLeft w:val="750"/>
                      <w:marRight w:val="0"/>
                      <w:marTop w:val="0"/>
                      <w:marBottom w:val="0"/>
                      <w:divBdr>
                        <w:top w:val="none" w:sz="0" w:space="0" w:color="auto"/>
                        <w:left w:val="none" w:sz="0" w:space="0" w:color="auto"/>
                        <w:bottom w:val="none" w:sz="0" w:space="0" w:color="auto"/>
                        <w:right w:val="none" w:sz="0" w:space="0" w:color="auto"/>
                      </w:divBdr>
                    </w:div>
                  </w:divsChild>
                </w:div>
                <w:div w:id="403452803">
                  <w:marLeft w:val="300"/>
                  <w:marRight w:val="0"/>
                  <w:marTop w:val="75"/>
                  <w:marBottom w:val="0"/>
                  <w:divBdr>
                    <w:top w:val="none" w:sz="0" w:space="0" w:color="auto"/>
                    <w:left w:val="none" w:sz="0" w:space="0" w:color="auto"/>
                    <w:bottom w:val="none" w:sz="0" w:space="0" w:color="auto"/>
                    <w:right w:val="none" w:sz="0" w:space="0" w:color="auto"/>
                  </w:divBdr>
                  <w:divsChild>
                    <w:div w:id="1077167586">
                      <w:marLeft w:val="750"/>
                      <w:marRight w:val="0"/>
                      <w:marTop w:val="0"/>
                      <w:marBottom w:val="0"/>
                      <w:divBdr>
                        <w:top w:val="none" w:sz="0" w:space="0" w:color="auto"/>
                        <w:left w:val="none" w:sz="0" w:space="0" w:color="auto"/>
                        <w:bottom w:val="none" w:sz="0" w:space="0" w:color="auto"/>
                        <w:right w:val="none" w:sz="0" w:space="0" w:color="auto"/>
                      </w:divBdr>
                      <w:divsChild>
                        <w:div w:id="3569762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5674149">
                  <w:marLeft w:val="300"/>
                  <w:marRight w:val="0"/>
                  <w:marTop w:val="75"/>
                  <w:marBottom w:val="0"/>
                  <w:divBdr>
                    <w:top w:val="none" w:sz="0" w:space="0" w:color="auto"/>
                    <w:left w:val="none" w:sz="0" w:space="0" w:color="auto"/>
                    <w:bottom w:val="none" w:sz="0" w:space="0" w:color="auto"/>
                    <w:right w:val="none" w:sz="0" w:space="0" w:color="auto"/>
                  </w:divBdr>
                  <w:divsChild>
                    <w:div w:id="1114255112">
                      <w:marLeft w:val="750"/>
                      <w:marRight w:val="0"/>
                      <w:marTop w:val="0"/>
                      <w:marBottom w:val="0"/>
                      <w:divBdr>
                        <w:top w:val="none" w:sz="0" w:space="0" w:color="auto"/>
                        <w:left w:val="none" w:sz="0" w:space="0" w:color="auto"/>
                        <w:bottom w:val="none" w:sz="0" w:space="0" w:color="auto"/>
                        <w:right w:val="none" w:sz="0" w:space="0" w:color="auto"/>
                      </w:divBdr>
                    </w:div>
                  </w:divsChild>
                </w:div>
                <w:div w:id="1647903479">
                  <w:marLeft w:val="300"/>
                  <w:marRight w:val="0"/>
                  <w:marTop w:val="75"/>
                  <w:marBottom w:val="0"/>
                  <w:divBdr>
                    <w:top w:val="none" w:sz="0" w:space="0" w:color="auto"/>
                    <w:left w:val="none" w:sz="0" w:space="0" w:color="auto"/>
                    <w:bottom w:val="none" w:sz="0" w:space="0" w:color="auto"/>
                    <w:right w:val="none" w:sz="0" w:space="0" w:color="auto"/>
                  </w:divBdr>
                  <w:divsChild>
                    <w:div w:id="815341576">
                      <w:marLeft w:val="750"/>
                      <w:marRight w:val="0"/>
                      <w:marTop w:val="0"/>
                      <w:marBottom w:val="0"/>
                      <w:divBdr>
                        <w:top w:val="none" w:sz="0" w:space="0" w:color="auto"/>
                        <w:left w:val="none" w:sz="0" w:space="0" w:color="auto"/>
                        <w:bottom w:val="none" w:sz="0" w:space="0" w:color="auto"/>
                        <w:right w:val="none" w:sz="0" w:space="0" w:color="auto"/>
                      </w:divBdr>
                    </w:div>
                  </w:divsChild>
                </w:div>
                <w:div w:id="1307584885">
                  <w:marLeft w:val="300"/>
                  <w:marRight w:val="0"/>
                  <w:marTop w:val="75"/>
                  <w:marBottom w:val="0"/>
                  <w:divBdr>
                    <w:top w:val="none" w:sz="0" w:space="0" w:color="auto"/>
                    <w:left w:val="none" w:sz="0" w:space="0" w:color="auto"/>
                    <w:bottom w:val="none" w:sz="0" w:space="0" w:color="auto"/>
                    <w:right w:val="none" w:sz="0" w:space="0" w:color="auto"/>
                  </w:divBdr>
                  <w:divsChild>
                    <w:div w:id="912934922">
                      <w:marLeft w:val="750"/>
                      <w:marRight w:val="0"/>
                      <w:marTop w:val="0"/>
                      <w:marBottom w:val="0"/>
                      <w:divBdr>
                        <w:top w:val="none" w:sz="0" w:space="0" w:color="auto"/>
                        <w:left w:val="none" w:sz="0" w:space="0" w:color="auto"/>
                        <w:bottom w:val="none" w:sz="0" w:space="0" w:color="auto"/>
                        <w:right w:val="none" w:sz="0" w:space="0" w:color="auto"/>
                      </w:divBdr>
                    </w:div>
                  </w:divsChild>
                </w:div>
                <w:div w:id="1532767757">
                  <w:marLeft w:val="300"/>
                  <w:marRight w:val="0"/>
                  <w:marTop w:val="75"/>
                  <w:marBottom w:val="0"/>
                  <w:divBdr>
                    <w:top w:val="none" w:sz="0" w:space="0" w:color="auto"/>
                    <w:left w:val="none" w:sz="0" w:space="0" w:color="auto"/>
                    <w:bottom w:val="none" w:sz="0" w:space="0" w:color="auto"/>
                    <w:right w:val="none" w:sz="0" w:space="0" w:color="auto"/>
                  </w:divBdr>
                  <w:divsChild>
                    <w:div w:id="1911772091">
                      <w:marLeft w:val="750"/>
                      <w:marRight w:val="0"/>
                      <w:marTop w:val="0"/>
                      <w:marBottom w:val="0"/>
                      <w:divBdr>
                        <w:top w:val="none" w:sz="0" w:space="0" w:color="auto"/>
                        <w:left w:val="none" w:sz="0" w:space="0" w:color="auto"/>
                        <w:bottom w:val="none" w:sz="0" w:space="0" w:color="auto"/>
                        <w:right w:val="none" w:sz="0" w:space="0" w:color="auto"/>
                      </w:divBdr>
                    </w:div>
                  </w:divsChild>
                </w:div>
                <w:div w:id="84302126">
                  <w:marLeft w:val="300"/>
                  <w:marRight w:val="0"/>
                  <w:marTop w:val="75"/>
                  <w:marBottom w:val="0"/>
                  <w:divBdr>
                    <w:top w:val="none" w:sz="0" w:space="0" w:color="auto"/>
                    <w:left w:val="none" w:sz="0" w:space="0" w:color="auto"/>
                    <w:bottom w:val="none" w:sz="0" w:space="0" w:color="auto"/>
                    <w:right w:val="none" w:sz="0" w:space="0" w:color="auto"/>
                  </w:divBdr>
                  <w:divsChild>
                    <w:div w:id="1163161184">
                      <w:marLeft w:val="750"/>
                      <w:marRight w:val="0"/>
                      <w:marTop w:val="0"/>
                      <w:marBottom w:val="0"/>
                      <w:divBdr>
                        <w:top w:val="none" w:sz="0" w:space="0" w:color="auto"/>
                        <w:left w:val="none" w:sz="0" w:space="0" w:color="auto"/>
                        <w:bottom w:val="none" w:sz="0" w:space="0" w:color="auto"/>
                        <w:right w:val="none" w:sz="0" w:space="0" w:color="auto"/>
                      </w:divBdr>
                    </w:div>
                  </w:divsChild>
                </w:div>
                <w:div w:id="547185866">
                  <w:marLeft w:val="300"/>
                  <w:marRight w:val="0"/>
                  <w:marTop w:val="75"/>
                  <w:marBottom w:val="0"/>
                  <w:divBdr>
                    <w:top w:val="none" w:sz="0" w:space="0" w:color="auto"/>
                    <w:left w:val="none" w:sz="0" w:space="0" w:color="auto"/>
                    <w:bottom w:val="none" w:sz="0" w:space="0" w:color="auto"/>
                    <w:right w:val="none" w:sz="0" w:space="0" w:color="auto"/>
                  </w:divBdr>
                  <w:divsChild>
                    <w:div w:id="1498612036">
                      <w:marLeft w:val="750"/>
                      <w:marRight w:val="0"/>
                      <w:marTop w:val="0"/>
                      <w:marBottom w:val="0"/>
                      <w:divBdr>
                        <w:top w:val="none" w:sz="0" w:space="0" w:color="auto"/>
                        <w:left w:val="none" w:sz="0" w:space="0" w:color="auto"/>
                        <w:bottom w:val="none" w:sz="0" w:space="0" w:color="auto"/>
                        <w:right w:val="none" w:sz="0" w:space="0" w:color="auto"/>
                      </w:divBdr>
                    </w:div>
                  </w:divsChild>
                </w:div>
                <w:div w:id="1578396261">
                  <w:marLeft w:val="300"/>
                  <w:marRight w:val="0"/>
                  <w:marTop w:val="75"/>
                  <w:marBottom w:val="0"/>
                  <w:divBdr>
                    <w:top w:val="none" w:sz="0" w:space="0" w:color="auto"/>
                    <w:left w:val="none" w:sz="0" w:space="0" w:color="auto"/>
                    <w:bottom w:val="none" w:sz="0" w:space="0" w:color="auto"/>
                    <w:right w:val="none" w:sz="0" w:space="0" w:color="auto"/>
                  </w:divBdr>
                  <w:divsChild>
                    <w:div w:id="1137601703">
                      <w:marLeft w:val="750"/>
                      <w:marRight w:val="0"/>
                      <w:marTop w:val="0"/>
                      <w:marBottom w:val="0"/>
                      <w:divBdr>
                        <w:top w:val="none" w:sz="0" w:space="0" w:color="auto"/>
                        <w:left w:val="none" w:sz="0" w:space="0" w:color="auto"/>
                        <w:bottom w:val="none" w:sz="0" w:space="0" w:color="auto"/>
                        <w:right w:val="none" w:sz="0" w:space="0" w:color="auto"/>
                      </w:divBdr>
                    </w:div>
                  </w:divsChild>
                </w:div>
                <w:div w:id="531771228">
                  <w:marLeft w:val="300"/>
                  <w:marRight w:val="0"/>
                  <w:marTop w:val="75"/>
                  <w:marBottom w:val="0"/>
                  <w:divBdr>
                    <w:top w:val="none" w:sz="0" w:space="0" w:color="auto"/>
                    <w:left w:val="none" w:sz="0" w:space="0" w:color="auto"/>
                    <w:bottom w:val="none" w:sz="0" w:space="0" w:color="auto"/>
                    <w:right w:val="none" w:sz="0" w:space="0" w:color="auto"/>
                  </w:divBdr>
                  <w:divsChild>
                    <w:div w:id="1023360242">
                      <w:marLeft w:val="750"/>
                      <w:marRight w:val="0"/>
                      <w:marTop w:val="0"/>
                      <w:marBottom w:val="0"/>
                      <w:divBdr>
                        <w:top w:val="none" w:sz="0" w:space="0" w:color="auto"/>
                        <w:left w:val="none" w:sz="0" w:space="0" w:color="auto"/>
                        <w:bottom w:val="none" w:sz="0" w:space="0" w:color="auto"/>
                        <w:right w:val="none" w:sz="0" w:space="0" w:color="auto"/>
                      </w:divBdr>
                    </w:div>
                  </w:divsChild>
                </w:div>
                <w:div w:id="1719546813">
                  <w:marLeft w:val="300"/>
                  <w:marRight w:val="0"/>
                  <w:marTop w:val="75"/>
                  <w:marBottom w:val="0"/>
                  <w:divBdr>
                    <w:top w:val="none" w:sz="0" w:space="0" w:color="auto"/>
                    <w:left w:val="none" w:sz="0" w:space="0" w:color="auto"/>
                    <w:bottom w:val="none" w:sz="0" w:space="0" w:color="auto"/>
                    <w:right w:val="none" w:sz="0" w:space="0" w:color="auto"/>
                  </w:divBdr>
                  <w:divsChild>
                    <w:div w:id="72972152">
                      <w:marLeft w:val="750"/>
                      <w:marRight w:val="0"/>
                      <w:marTop w:val="0"/>
                      <w:marBottom w:val="0"/>
                      <w:divBdr>
                        <w:top w:val="none" w:sz="0" w:space="0" w:color="auto"/>
                        <w:left w:val="none" w:sz="0" w:space="0" w:color="auto"/>
                        <w:bottom w:val="none" w:sz="0" w:space="0" w:color="auto"/>
                        <w:right w:val="none" w:sz="0" w:space="0" w:color="auto"/>
                      </w:divBdr>
                    </w:div>
                  </w:divsChild>
                </w:div>
                <w:div w:id="1037776868">
                  <w:marLeft w:val="300"/>
                  <w:marRight w:val="0"/>
                  <w:marTop w:val="75"/>
                  <w:marBottom w:val="0"/>
                  <w:divBdr>
                    <w:top w:val="none" w:sz="0" w:space="0" w:color="auto"/>
                    <w:left w:val="none" w:sz="0" w:space="0" w:color="auto"/>
                    <w:bottom w:val="none" w:sz="0" w:space="0" w:color="auto"/>
                    <w:right w:val="none" w:sz="0" w:space="0" w:color="auto"/>
                  </w:divBdr>
                  <w:divsChild>
                    <w:div w:id="1642803535">
                      <w:marLeft w:val="750"/>
                      <w:marRight w:val="0"/>
                      <w:marTop w:val="0"/>
                      <w:marBottom w:val="0"/>
                      <w:divBdr>
                        <w:top w:val="none" w:sz="0" w:space="0" w:color="auto"/>
                        <w:left w:val="none" w:sz="0" w:space="0" w:color="auto"/>
                        <w:bottom w:val="none" w:sz="0" w:space="0" w:color="auto"/>
                        <w:right w:val="none" w:sz="0" w:space="0" w:color="auto"/>
                      </w:divBdr>
                    </w:div>
                  </w:divsChild>
                </w:div>
                <w:div w:id="1512062538">
                  <w:marLeft w:val="300"/>
                  <w:marRight w:val="0"/>
                  <w:marTop w:val="75"/>
                  <w:marBottom w:val="0"/>
                  <w:divBdr>
                    <w:top w:val="none" w:sz="0" w:space="0" w:color="auto"/>
                    <w:left w:val="none" w:sz="0" w:space="0" w:color="auto"/>
                    <w:bottom w:val="none" w:sz="0" w:space="0" w:color="auto"/>
                    <w:right w:val="none" w:sz="0" w:space="0" w:color="auto"/>
                  </w:divBdr>
                  <w:divsChild>
                    <w:div w:id="12161603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URL('http://kaynardzha.egov.bg/KAYNARDZHA/home.nsf/pages/bg/NT00002C06?openDocument')" TargetMode="External"/><Relationship Id="rId4" Type="http://schemas.openxmlformats.org/officeDocument/2006/relationships/hyperlink" Target="mailto:kain_s@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2015-06-22T08:05:00Z</dcterms:created>
  <dcterms:modified xsi:type="dcterms:W3CDTF">2015-06-22T08:07:00Z</dcterms:modified>
</cp:coreProperties>
</file>